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0" w:after="240" w:line="240" w:lineRule="auto"/>
        <w:jc w:val="right"/>
      </w:pPr>
      <w:r>
        <w:rPr>
          <w:rFonts w:ascii="Calibri" w:hAnsi="Calibri"/>
          <w:b/>
          <w:i w:val="0"/>
          <w:color w:val="0B2545"/>
          <w:sz w:val="20"/>
        </w:rPr>
        <w:t>УТВЕРЖДАЮ</w:t>
        <w:br/>
      </w:r>
      <w:r>
        <w:rPr>
          <w:rFonts w:ascii="Calibri" w:hAnsi="Calibri"/>
          <w:b w:val="0"/>
          <w:i w:val="0"/>
          <w:color w:val="000000"/>
          <w:sz w:val="20"/>
        </w:rPr>
        <w:t>________________ / ____________</w:t>
        <w:br/>
        <w:t>«____» ____________ 20___ г.</w:t>
      </w:r>
    </w:p>
    <w:p>
      <w:pPr>
        <w:keepNext w:val="0"/>
        <w:spacing w:before="120" w:after="120" w:line="240" w:lineRule="auto"/>
        <w:jc w:val="center"/>
      </w:pPr>
      <w:r>
        <w:rPr>
          <w:rFonts w:ascii="Calibri" w:hAnsi="Calibri"/>
          <w:b/>
          <w:i w:val="0"/>
          <w:color w:val="0B2545"/>
          <w:sz w:val="40"/>
        </w:rPr>
        <w:t>ПОЛОЖЕНИЕ О ВЗАИМОДЕЙСТВИИ</w:t>
      </w:r>
    </w:p>
    <w:p>
      <w:pPr>
        <w:keepNext w:val="0"/>
        <w:spacing w:before="0" w:after="320" w:line="240" w:lineRule="auto"/>
        <w:jc w:val="center"/>
      </w:pPr>
      <w:r>
        <w:rPr>
          <w:rFonts w:ascii="Calibri" w:hAnsi="Calibri"/>
          <w:b w:val="0"/>
          <w:i/>
          <w:color w:val="5B6573"/>
          <w:sz w:val="22"/>
        </w:rPr>
        <w:t>с подрядными и субподрядными организациями на территории заказчика</w:t>
      </w:r>
    </w:p>
    <w:p>
      <w:pPr>
        <w:keepNext w:val="0"/>
        <w:spacing w:before="0" w:after="6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Организация: ___________________________________________________________________</w:t>
      </w:r>
    </w:p>
    <w:p>
      <w:pPr>
        <w:keepNext w:val="0"/>
        <w:spacing w:before="0" w:after="24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Номер документа: ____________     Дата введения: «____» ____________ 20___ г.</w:t>
      </w:r>
    </w:p>
    <w:tbl>
      <w:tblPr>
        <w:tblW w:type="dxa" w:w="9800"/>
        <w:jc w:val="left"/>
        <w:tblLayout w:type="fixed"/>
        <w:tblLook w:firstColumn="1" w:firstRow="1" w:lastColumn="0" w:lastRow="0" w:noHBand="0" w:noVBand="1" w:val="04A0"/>
        <w:tblInd w:w="40" w:type="dxa"/>
      </w:tblPr>
      <w:tblGrid>
        <w:gridCol w:w="9800"/>
      </w:tblGrid>
      <w:tr>
        <w:tc>
          <w:tcPr>
            <w:tcW w:type="dxa" w:w="9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shd w:fill="E8EEF5"/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20"/>
              </w:rPr>
              <w:t>Положение устанавливает рабочий порядок обмена сведениями, допуска, координации, контроля и передачи безопасного состояния между работодателями.</w:t>
            </w:r>
          </w:p>
        </w:tc>
      </w:tr>
    </w:tbl>
    <w:p>
      <w:pPr>
        <w:pStyle w:val="Heading1"/>
      </w:pPr>
      <w:r>
        <w:t>1. Общие положения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1.1. Настоящее Положение применяется при выполнении работ работниками подрядных и субподрядных организаций на территории, находящейся под контролем Заказчика.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1.2. Каждая сторона сохраняет обязанности работодателя в отношении своих работников. Совместные меры не подменяют обучение, обеспечение СИЗ, медицинские осмотры и иные процедуры, которые сторона обязана организовать самостоятельно.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1.3. Стороны назначают уполномоченных представителей. Представитель вправе получать сведения, согласовывать условия, регистрировать замечания и требовать остановки работ при установленном опасном событии.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1.4. Требования Положения включаются в закупочную документацию, договор, приложения и процедуру допуска в объеме, соответствующем конкретной работе и рискам площадки.</w:t>
      </w:r>
    </w:p>
    <w:p>
      <w:pPr>
        <w:pStyle w:val="Heading1"/>
      </w:pPr>
      <w:r>
        <w:t>2. Обмен сведениями до начала работ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2.1. Заказчик до допуска передает Подрядчику:</w:t>
      </w:r>
    </w:p>
    <w:p>
      <w:pPr>
        <w:keepNext w:val="0"/>
        <w:spacing w:before="0" w:after="6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границы территории, маршруты людей и транспорта, места складирования и санитарные объекты;</w:t>
      </w:r>
    </w:p>
    <w:p>
      <w:pPr>
        <w:keepNext w:val="0"/>
        <w:spacing w:before="0" w:after="6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сведения об опасностях площадки, действующих установках, коммуникациях и одновременных работах;</w:t>
      </w:r>
    </w:p>
    <w:p>
      <w:pPr>
        <w:keepNext w:val="0"/>
        <w:spacing w:before="0" w:after="6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правила пропускного, нарядного, огневого, газоопасного и иного установленного режима;</w:t>
      </w:r>
    </w:p>
    <w:p>
      <w:pPr>
        <w:keepNext w:val="0"/>
        <w:spacing w:before="0" w:after="6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сигналы оповещения, пути эвакуации, место сбора, порядок вызова экстренных служб и контакты смены;</w:t>
      </w:r>
    </w:p>
    <w:p>
      <w:pPr>
        <w:keepNext w:val="0"/>
        <w:spacing w:before="0" w:after="6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условия прекращения и возобновления работ, а также порядок передачи участка после завершения.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2.2. Подрядчик до допуска передает Заказчику:</w:t>
      </w:r>
    </w:p>
    <w:p>
      <w:pPr>
        <w:keepNext w:val="0"/>
        <w:spacing w:before="0" w:after="6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состав работников, руководителей и субподрядчиков, планируемый график и зоны;</w:t>
      </w:r>
    </w:p>
    <w:p>
      <w:pPr>
        <w:keepNext w:val="0"/>
        <w:spacing w:before="0" w:after="6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описание технологии, оборудования, материалов, источников энергии и работ повышенной опасности;</w:t>
      </w:r>
    </w:p>
    <w:p>
      <w:pPr>
        <w:keepNext w:val="0"/>
        <w:spacing w:before="0" w:after="6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подтверждение обязательной подготовки работников и исправности применяемых средств;</w:t>
      </w:r>
    </w:p>
    <w:p>
      <w:pPr>
        <w:keepNext w:val="0"/>
        <w:spacing w:before="0" w:after="6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собственные опасности, которые могут воздействовать на работников Заказчика и других исполнителей;</w:t>
      </w:r>
    </w:p>
    <w:p>
      <w:pPr>
        <w:keepNext w:val="0"/>
        <w:spacing w:before="0" w:after="6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контакты ответственных, порядок внутреннего контроля и реагирования на происшествие.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2.3. Представители сопоставляют сведения и фиксируют противоречия. Формальное получение документов без проверки пересекающихся работ не считается завершенной координацией.</w:t>
      </w:r>
    </w:p>
    <w:p>
      <w:pPr>
        <w:pStyle w:val="Heading1"/>
      </w:pPr>
      <w:r>
        <w:t>3. Подготовка и допуск</w:t>
      </w:r>
    </w:p>
    <w:p>
      <w:pPr>
        <w:keepNext w:val="0"/>
        <w:spacing w:before="0" w:after="80" w:line="300" w:lineRule="auto"/>
        <w:numPr>
          <w:ilvl w:val="0"/>
          <w:numId w:val="11"/>
        </w:numPr>
      </w:pPr>
      <w:r>
        <w:rPr>
          <w:rFonts w:ascii="Calibri" w:hAnsi="Calibri"/>
          <w:b w:val="0"/>
          <w:i w:val="0"/>
          <w:color w:val="000000"/>
          <w:sz w:val="22"/>
        </w:rPr>
        <w:t>Определить границы участка, ограждения, маршруты, места подключения и хранения.</w:t>
      </w:r>
    </w:p>
    <w:p>
      <w:pPr>
        <w:keepNext w:val="0"/>
        <w:spacing w:before="0" w:after="80" w:line="300" w:lineRule="auto"/>
        <w:numPr>
          <w:ilvl w:val="0"/>
          <w:numId w:val="11"/>
        </w:numPr>
      </w:pPr>
      <w:r>
        <w:rPr>
          <w:rFonts w:ascii="Calibri" w:hAnsi="Calibri"/>
          <w:b w:val="0"/>
          <w:i w:val="0"/>
          <w:color w:val="000000"/>
          <w:sz w:val="22"/>
        </w:rPr>
        <w:t>Проверить документы и допуски в объеме, установленном для конкретной работы.</w:t>
      </w:r>
    </w:p>
    <w:p>
      <w:pPr>
        <w:keepNext w:val="0"/>
        <w:spacing w:before="0" w:after="80" w:line="300" w:lineRule="auto"/>
        <w:numPr>
          <w:ilvl w:val="0"/>
          <w:numId w:val="11"/>
        </w:numPr>
      </w:pPr>
      <w:r>
        <w:rPr>
          <w:rFonts w:ascii="Calibri" w:hAnsi="Calibri"/>
          <w:b w:val="0"/>
          <w:i w:val="0"/>
          <w:color w:val="000000"/>
          <w:sz w:val="22"/>
        </w:rPr>
        <w:t>Согласовать отключение энергии, блокировки, наряды и последовательность разрешений.</w:t>
      </w:r>
    </w:p>
    <w:p>
      <w:pPr>
        <w:keepNext w:val="0"/>
        <w:spacing w:before="0" w:after="80" w:line="300" w:lineRule="auto"/>
        <w:numPr>
          <w:ilvl w:val="0"/>
          <w:numId w:val="11"/>
        </w:numPr>
      </w:pPr>
      <w:r>
        <w:rPr>
          <w:rFonts w:ascii="Calibri" w:hAnsi="Calibri"/>
          <w:b w:val="0"/>
          <w:i w:val="0"/>
          <w:color w:val="000000"/>
          <w:sz w:val="22"/>
        </w:rPr>
        <w:t>Провести ознакомление с рисками территории и проверить понимание сигналов и остановки.</w:t>
      </w:r>
    </w:p>
    <w:p>
      <w:pPr>
        <w:keepNext w:val="0"/>
        <w:spacing w:before="0" w:after="80" w:line="300" w:lineRule="auto"/>
        <w:numPr>
          <w:ilvl w:val="0"/>
          <w:numId w:val="11"/>
        </w:numPr>
      </w:pPr>
      <w:r>
        <w:rPr>
          <w:rFonts w:ascii="Calibri" w:hAnsi="Calibri"/>
          <w:b w:val="0"/>
          <w:i w:val="0"/>
          <w:color w:val="000000"/>
          <w:sz w:val="22"/>
        </w:rPr>
        <w:t>Оформить акт допуска либо иную установленную форму только после устранения замечаний.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3.2. Акт допуска не подтверждает безопасность на весь срок договора. Изменение технологии, состава бригады, зоны, сменности или одновременных работ запускает повторную координацию.</w:t>
      </w:r>
    </w:p>
    <w:p>
      <w:pPr>
        <w:pStyle w:val="Heading1"/>
      </w:pPr>
      <w:r>
        <w:t>4. Координация в ходе работ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4.1. Перед сменой представители сверяют места и этапы работ, ограничения, отключения, транспортные маршруты и опасные операции дня.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4.2. Замечание регистрируют с указанием факта, уровня риска, владельца, срока, временной меры и условия возобновления. Высокий риск передают руководителю немедленно.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4.3. Заказчик и Подрядчик проводят совместные обходы с периодичностью ____________________. Контроль не освобождает Подрядчика от постоянного надзора за своими работниками.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4.4. Любой работник вправе сообщить об опасности и прекратить действие при непосредственной угрозе в порядке, установленном сторонами. Возобновление разрешает ____________________ после проверки мер.</w:t>
      </w:r>
    </w:p>
    <w:p>
      <w:pPr>
        <w:pStyle w:val="Heading1"/>
      </w:pPr>
      <w:r>
        <w:t>5. Аварийная готовность и происшествия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5.1. До допуска проверяют единый номер связи, порядок оповещения, место сбора, встречу экстренных служб, первую помощь и учет присутствующих.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5.2. При происшествии стороны обеспечивают помощь, устраняют непосредственную угрозу, сохраняют обстановку в допустимых пределах и уведомляют назначенных лиц.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5.3. Каждая сторона выполняет обязанности по расследованию в пределах закона и передает другой стороне сведения, необходимые для установления причин и совместных мер.</w:t>
      </w:r>
    </w:p>
    <w:p>
      <w:pPr>
        <w:pStyle w:val="Heading1"/>
      </w:pPr>
      <w:r>
        <w:t>6. Субподрядчики и изменения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6.1. Привлечение субподрядчика допускается после предварительного уведомления и применения к нему тех же требований обмена сведениями и допуска.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6.2. Подрядчик не вправе заменять согласованную технологию, оборудование, материал или руководителя работ без оценки влияния изменения на безопасность.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6.3. Временное изменение фиксируется карточкой: описание, новые опасности, согласованные меры, срок и представители сторон.</w:t>
      </w:r>
    </w:p>
    <w:p>
      <w:pPr>
        <w:pStyle w:val="Heading1"/>
      </w:pPr>
      <w:r>
        <w:t>7. Завершение, контроль и хранение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7.1. Передача участка включает удаление материалов, восстановление ограждений и защит, возврат оборудования в согласованный режим и подтверждение отсутствия людей в опасной зоне.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7.2. Служба охраны труда выборочно восстанавливает цепочку по завершенным работам: сведения, допуск, координации, замечания, изменения и закрытие.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7.3. Формы, сроки хранения и доступ к записям устанавливаются локальным документооборотом и договором.</w:t>
      </w:r>
    </w:p>
    <w:p>
      <w:r>
        <w:br w:type="page"/>
      </w:r>
    </w:p>
    <w:p>
      <w:pPr>
        <w:pStyle w:val="Heading1"/>
      </w:pPr>
      <w:r>
        <w:t>Приложение 1. Матрица ответственности</w:t>
      </w:r>
    </w:p>
    <w:tbl>
      <w:tblPr>
        <w:tblW w:type="dxa" w:w="9800"/>
        <w:tblLayout w:type="fixed"/>
        <w:tblLook w:firstColumn="1" w:firstRow="1" w:lastColumn="0" w:lastRow="0" w:noHBand="0" w:noVBand="1" w:val="04A0"/>
        <w:jc w:val="left"/>
        <w:tblInd w:w="40" w:type="dxa"/>
      </w:tblPr>
      <w:tblGrid>
        <w:gridCol w:w="450"/>
        <w:gridCol w:w="2350"/>
        <w:gridCol w:w="1500"/>
        <w:gridCol w:w="1500"/>
        <w:gridCol w:w="1750"/>
        <w:gridCol w:w="2250"/>
      </w:tblGrid>
      <w:tr>
        <w:trPr>
          <w:tblHeader w:val="true"/>
        </w:trPr>
        <w:tc>
          <w:tcPr>
            <w:tcW w:type="dxa" w:w="4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№</w:t>
            </w:r>
          </w:p>
        </w:tc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Действие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Заказчик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Подрядчик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Подтверждение</w:t>
            </w:r>
          </w:p>
        </w:tc>
        <w:tc>
          <w:tcPr>
            <w:tcW w:type="dxa" w:w="22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Условие остановки / эскалации</w:t>
            </w:r>
          </w:p>
        </w:tc>
      </w:tr>
      <w:tr>
        <w:trPr>
          <w:cantSplit/>
          <w:trHeight w:val="680" w:hRule="atLeast"/>
        </w:trPr>
        <w:tc>
          <w:tcPr>
            <w:tcW w:type="dxa" w:w="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1</w:t>
            </w:r>
          </w:p>
        </w:tc>
        <w:tc>
          <w:tcPr>
            <w:tcW w:type="dxa" w:w="2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Передача сведений о площадке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2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</w:tr>
      <w:tr>
        <w:trPr>
          <w:cantSplit/>
          <w:trHeight w:val="680" w:hRule="atLeast"/>
        </w:trPr>
        <w:tc>
          <w:tcPr>
            <w:tcW w:type="dxa" w:w="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2</w:t>
            </w:r>
          </w:p>
        </w:tc>
        <w:tc>
          <w:tcPr>
            <w:tcW w:type="dxa" w:w="2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Передача технологии и состава бригады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2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</w:tr>
      <w:tr>
        <w:trPr>
          <w:cantSplit/>
          <w:trHeight w:val="680" w:hRule="atLeast"/>
        </w:trPr>
        <w:tc>
          <w:tcPr>
            <w:tcW w:type="dxa" w:w="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3</w:t>
            </w:r>
          </w:p>
        </w:tc>
        <w:tc>
          <w:tcPr>
            <w:tcW w:type="dxa" w:w="2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Проверка документов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2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</w:tr>
      <w:tr>
        <w:trPr>
          <w:cantSplit/>
          <w:trHeight w:val="680" w:hRule="atLeast"/>
        </w:trPr>
        <w:tc>
          <w:tcPr>
            <w:tcW w:type="dxa" w:w="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4</w:t>
            </w:r>
          </w:p>
        </w:tc>
        <w:tc>
          <w:tcPr>
            <w:tcW w:type="dxa" w:w="2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Отключение и блокировка энергии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2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</w:tr>
      <w:tr>
        <w:trPr>
          <w:cantSplit/>
          <w:trHeight w:val="680" w:hRule="atLeast"/>
        </w:trPr>
        <w:tc>
          <w:tcPr>
            <w:tcW w:type="dxa" w:w="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5</w:t>
            </w:r>
          </w:p>
        </w:tc>
        <w:tc>
          <w:tcPr>
            <w:tcW w:type="dxa" w:w="2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Оформление разрешения / наряда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2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</w:tr>
      <w:tr>
        <w:trPr>
          <w:cantSplit/>
          <w:trHeight w:val="680" w:hRule="atLeast"/>
        </w:trPr>
        <w:tc>
          <w:tcPr>
            <w:tcW w:type="dxa" w:w="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6</w:t>
            </w:r>
          </w:p>
        </w:tc>
        <w:tc>
          <w:tcPr>
            <w:tcW w:type="dxa" w:w="2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Ограждение и маршруты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2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</w:tr>
      <w:tr>
        <w:trPr>
          <w:cantSplit/>
          <w:trHeight w:val="680" w:hRule="atLeast"/>
        </w:trPr>
        <w:tc>
          <w:tcPr>
            <w:tcW w:type="dxa" w:w="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7</w:t>
            </w:r>
          </w:p>
        </w:tc>
        <w:tc>
          <w:tcPr>
            <w:tcW w:type="dxa" w:w="2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Ежесменная координация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2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</w:tr>
      <w:tr>
        <w:trPr>
          <w:cantSplit/>
          <w:trHeight w:val="680" w:hRule="atLeast"/>
        </w:trPr>
        <w:tc>
          <w:tcPr>
            <w:tcW w:type="dxa" w:w="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8</w:t>
            </w:r>
          </w:p>
        </w:tc>
        <w:tc>
          <w:tcPr>
            <w:tcW w:type="dxa" w:w="2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Совместный контроль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2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</w:tr>
      <w:tr>
        <w:trPr>
          <w:cantSplit/>
          <w:trHeight w:val="680" w:hRule="atLeast"/>
        </w:trPr>
        <w:tc>
          <w:tcPr>
            <w:tcW w:type="dxa" w:w="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9</w:t>
            </w:r>
          </w:p>
        </w:tc>
        <w:tc>
          <w:tcPr>
            <w:tcW w:type="dxa" w:w="2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Реагирование на происшествие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2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</w:tr>
      <w:tr>
        <w:trPr>
          <w:cantSplit/>
          <w:trHeight w:val="680" w:hRule="atLeast"/>
        </w:trPr>
        <w:tc>
          <w:tcPr>
            <w:tcW w:type="dxa" w:w="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10</w:t>
            </w:r>
          </w:p>
        </w:tc>
        <w:tc>
          <w:tcPr>
            <w:tcW w:type="dxa" w:w="2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Передача участка после завершения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2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Приложение 2. Карточка координации смены</w:t>
      </w:r>
    </w:p>
    <w:tbl>
      <w:tblPr>
        <w:tblW w:type="dxa" w:w="9350"/>
        <w:jc w:val="left"/>
        <w:tblLayout w:type="fixed"/>
        <w:tblLook w:firstColumn="1" w:firstRow="1" w:lastColumn="0" w:lastRow="0" w:noHBand="0" w:noVBand="1" w:val="04A0"/>
        <w:tblInd w:w="40" w:type="dxa"/>
      </w:tblPr>
      <w:tblGrid>
        <w:gridCol w:w="2450"/>
        <w:gridCol w:w="6900"/>
      </w:tblGrid>
      <w:t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Дата / смена</w:t>
            </w:r>
          </w:p>
        </w:tc>
        <w:tc>
          <w:tcPr>
            <w:tcW w:type="dxa" w:w="6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____________________________________________________________________</w:t>
            </w:r>
          </w:p>
        </w:tc>
      </w:tr>
      <w:t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Участок / работа</w:t>
            </w:r>
          </w:p>
        </w:tc>
        <w:tc>
          <w:tcPr>
            <w:tcW w:type="dxa" w:w="6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____________________________________________________________________</w:t>
            </w:r>
          </w:p>
        </w:tc>
      </w:tr>
      <w:t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Представитель Заказчика</w:t>
            </w:r>
          </w:p>
        </w:tc>
        <w:tc>
          <w:tcPr>
            <w:tcW w:type="dxa" w:w="6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____________________________________________________________________</w:t>
            </w:r>
          </w:p>
        </w:tc>
      </w:tr>
      <w:t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Представитель Подрядчика</w:t>
            </w:r>
          </w:p>
        </w:tc>
        <w:tc>
          <w:tcPr>
            <w:tcW w:type="dxa" w:w="6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____________________________________________________________________</w:t>
            </w:r>
          </w:p>
        </w:tc>
      </w:tr>
      <w:t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Одновременные работы</w:t>
            </w:r>
          </w:p>
        </w:tc>
        <w:tc>
          <w:tcPr>
            <w:tcW w:type="dxa" w:w="6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____________________________________________________________________</w:t>
            </w:r>
          </w:p>
        </w:tc>
      </w:tr>
      <w:t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Отключения / ограничения</w:t>
            </w:r>
          </w:p>
        </w:tc>
        <w:tc>
          <w:tcPr>
            <w:tcW w:type="dxa" w:w="6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____________________________________________________________________</w:t>
            </w:r>
          </w:p>
        </w:tc>
      </w:tr>
      <w:t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Условие немедленной остановки</w:t>
            </w:r>
          </w:p>
        </w:tc>
        <w:tc>
          <w:tcPr>
            <w:tcW w:type="dxa" w:w="6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____________________________________________________________________</w:t>
            </w:r>
          </w:p>
        </w:tc>
      </w:tr>
    </w:tbl>
    <w:p>
      <w:pPr>
        <w:pStyle w:val="Heading2"/>
      </w:pPr>
      <w:r>
        <w:t>Изменения и согласованные меры</w:t>
      </w:r>
    </w:p>
    <w:tbl>
      <w:tblPr>
        <w:tblW w:type="dxa" w:w="9350"/>
        <w:tblLayout w:type="fixed"/>
        <w:tblLook w:firstColumn="1" w:firstRow="1" w:lastColumn="0" w:lastRow="0" w:noHBand="0" w:noVBand="1" w:val="04A0"/>
        <w:jc w:val="left"/>
        <w:tblInd w:w="40" w:type="dxa"/>
      </w:tblPr>
      <w:tblGrid>
        <w:gridCol w:w="500"/>
        <w:gridCol w:w="2600"/>
        <w:gridCol w:w="2600"/>
        <w:gridCol w:w="1800"/>
        <w:gridCol w:w="1850"/>
      </w:tblGrid>
      <w:tr>
        <w:trPr>
          <w:tblHeader w:val="true"/>
        </w:trP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№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Изменение / опасность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Мера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Ответственный</w:t>
            </w:r>
          </w:p>
        </w:tc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Срок / проверка</w:t>
            </w:r>
          </w:p>
        </w:tc>
      </w:tr>
      <w:tr>
        <w:trPr>
          <w:cantSplit/>
          <w:trHeight w:val="68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8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8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3</w:t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8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4</w:t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8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5</w:t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8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6</w:t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8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7</w:t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</w:tbl>
    <w:p>
      <w:pPr>
        <w:keepNext w:val="0"/>
        <w:spacing w:before="0" w:after="6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Заказчик __________________ / __________________     Подрядчик __________________ / __________________</w:t>
      </w:r>
    </w:p>
    <w:p>
      <w:pPr>
        <w:keepNext w:val="0"/>
        <w:spacing w:before="160" w:after="0" w:line="240" w:lineRule="auto"/>
      </w:pPr>
      <w:r>
        <w:rPr>
          <w:rFonts w:ascii="Calibri" w:hAnsi="Calibri"/>
          <w:b/>
          <w:i w:val="0"/>
          <w:color w:val="5B6573"/>
          <w:sz w:val="18"/>
        </w:rPr>
        <w:t xml:space="preserve">Нормативная основа: </w:t>
      </w:r>
      <w:r>
        <w:rPr>
          <w:rFonts w:ascii="Calibri" w:hAnsi="Calibri"/>
          <w:b w:val="0"/>
          <w:i w:val="0"/>
          <w:color w:val="5B6573"/>
          <w:sz w:val="18"/>
        </w:rPr>
        <w:t>приказ Минтруда России от 22.09.2021 № 656н — примерный перечень мероприятий по предотвращению повреждения здоровья работников при работах на территории другого работодателя.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224" w:right="1224" w:bottom="1224" w:left="1224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 w:val="0"/>
        <w:i w:val="0"/>
        <w:color w:val="5B6573"/>
        <w:sz w:val="18"/>
      </w:rPr>
      <w:t xml:space="preserve">Страница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40" w:lineRule="auto"/>
      <w:jc w:val="left"/>
    </w:pPr>
    <w:r>
      <w:rPr>
        <w:rFonts w:ascii="Calibri" w:hAnsi="Calibri"/>
        <w:b/>
        <w:i w:val="0"/>
        <w:color w:val="5B6573"/>
        <w:sz w:val="17"/>
      </w:rPr>
      <w:t>ОХРАНА ТРУДА • РЕДАКТИРУЕМЫЙ ОБРАЗЕЦ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</w:pPr>
    </w:lvl>
  </w:abstractNum>
  <w:num w:numId="10">
    <w:abstractNumId w:val="9"/>
  </w:num>
  <w:abstractNum w:abstractNumId="1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взаимодействии с подрядными организациями</dc:title>
  <dc:subject>Редактируемый локальный порядок совместных мер по охране труда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