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АЛГОРИТМ ДЕЙСТВИЙ РАБОТОДАТЕЛЯ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при несчастном случае на производстве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Организация: __________________________________________________________________________</w:t>
      </w:r>
    </w:p>
    <w:p>
      <w:pPr>
        <w:keepNext w:val="0"/>
        <w:spacing w:before="0" w:after="1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Ответственный координатор: ______________________________  Единый номер связи: __________________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3900"/>
        <w:gridCol w:w="1750"/>
        <w:gridCol w:w="1750"/>
        <w:gridCol w:w="18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Немедленное действие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Ответственный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Срок / время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Подтверждение</w:t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Организовать первую помощь и при необходимости вызов скорой помощи / доставку пострадавшего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2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Устранить непосредственную угрозу другим людям и предотвратить развитие аварийной ситуации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3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Сохранить обстановку; если это невозможно — выполнить фото, видео, схемы и иные способы фиксации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4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Получить первичные сведения: пострадавший, место, время, очевидцы, выполняемая работа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5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Определить предварительную категорию события и круг обязательных уведомлений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6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Сообщить руководителю и назначенному координатору расследования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7</w:t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Организовать запрос о характере и степени тяжести повреждения здоровья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</w:r>
          </w:p>
        </w:tc>
      </w:tr>
    </w:tbl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Фактическое время происшествия: ______:______  Время получения информации работодателем: ______:______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Место госпитализации / медицинская организация: __________________________________________________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статья 228 Трудового кодекса Российской Федерации.</w:t>
      </w:r>
    </w:p>
    <w:p>
      <w:r>
        <w:br w:type="page"/>
      </w:r>
    </w:p>
    <w:p>
      <w:pPr>
        <w:pStyle w:val="Heading1"/>
      </w:pPr>
      <w:r>
        <w:t>Матрица уведомлений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Состав адресатов зависит от категории несчастного случая и сферы надзора. Отметьте применимые строки и сохраните подтверждение отправки.</w:t>
      </w:r>
    </w:p>
    <w:tbl>
      <w:tblPr>
        <w:tblW w:type="dxa" w:w="100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400"/>
        <w:gridCol w:w="2650"/>
        <w:gridCol w:w="2150"/>
        <w:gridCol w:w="1700"/>
        <w:gridCol w:w="1400"/>
        <w:gridCol w:w="1700"/>
      </w:tblGrid>
      <w:tr>
        <w:trPr>
          <w:tblHeader w:val="true"/>
        </w:trPr>
        <w:tc>
          <w:tcPr>
            <w:tcW w:type="dxa" w:w="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☐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Адресат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Когда применимо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Срок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Канал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Номер / подтверждение</w:t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Государственная инспекция труда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групповой, тяжелый, смертельный и иные случаи по ТК РФ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 установленный срок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Прокуратура по месту происшествия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групповой, тяжелый или смертельный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 установленный срок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Орган власти субъекта РФ / местного самоуправления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случаи, предусмотренные ТК РФ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 установленный срок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Территориальное объединение профсоюзов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групповой, тяжелый или смертельный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 установленный срок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Исполнительный орган страховщика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страховой случай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по применимой форме и сроку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Орган отраслевого надзора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объект подконтролен соответствующему органу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в установленный срок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Роспотребнадзор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острое заболевание / отравление с предполагаемой производственной причиной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незамедлительно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Работодатель направленного работника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работник направлен к принимающей стороне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незамедлительно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  <w:tr>
        <w:trPr>
          <w:trHeight w:val="860" w:hRule="atLeast"/>
          <w:cantSplit/>
        </w:trPr>
        <w:tc>
          <w:tcPr>
            <w:tcW w:type="dxa" w:w="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</w:t>
            </w:r>
          </w:p>
        </w:tc>
        <w:tc>
          <w:tcPr>
            <w:tcW w:type="dxa" w:w="26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Родственники пострадавшего</w:t>
            </w:r>
          </w:p>
        </w:tc>
        <w:tc>
          <w:tcPr>
            <w:tcW w:type="dxa" w:w="2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госпитализация, тяжелый или смертельный исход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незамедлительно</w:t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статьи 228 и 228.1 Трудового кодекса Российской Федерации; применимая форма извещения по приказу Минтруда России № 223н.</w:t>
      </w:r>
    </w:p>
    <w:p>
      <w:r>
        <w:br w:type="page"/>
      </w:r>
    </w:p>
    <w:p>
      <w:pPr>
        <w:pStyle w:val="Heading1"/>
      </w:pPr>
      <w:r>
        <w:t>Организация расследования</w:t>
      </w:r>
    </w:p>
    <w:tbl>
      <w:tblPr>
        <w:tblW w:type="dxa" w:w="96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4100"/>
        <w:gridCol w:w="1700"/>
        <w:gridCol w:w="1550"/>
        <w:gridCol w:w="175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4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Контрольный шаг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Ответственный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Срок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Результат / файл</w:t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Издать приказ о создании комиссии с учетом категории случая и исключений по составу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Определить срок расследования и при необходимости оформить его продление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Осмотреть место, опросить пострадавшего и очевидцев, получить схемы, фото и документы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Проверить обучение, допуск, инструктаж, СИЗ, режим работы, техническое состояние и организацию контроля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Установить обстоятельства, причины и лиц, допустивших нарушения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Квалифицировать случай и оформить акты и материалы по применимым формам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Ознакомить заинтересованных лиц и направить экземпляры в предусмотренные адреса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Зарегистрировать случай, утвердить мероприятия и контролировать их выполнение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trHeight w:val="9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4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Передать материалы на хранение и обеспечить установленный срок хранения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pStyle w:val="Heading1"/>
      </w:pPr>
      <w:r>
        <w:t>Контроль после расследования</w:t>
      </w:r>
    </w:p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причины переведены в конкретные технические и организационные меры;</w:t>
      </w:r>
    </w:p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по каждой мере определены владелец, срок и проверяемый результат;</w:t>
      </w:r>
    </w:p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оценка профессиональных рисков и локальные процедуры пересмотрены при необходимости;</w:t>
      </w:r>
    </w:p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работникам переданы выводы без разглашения избыточных персональных данных;</w:t>
      </w:r>
    </w:p>
    <w:p>
      <w:pPr>
        <w:keepNext w:val="0"/>
        <w:spacing w:before="0" w:after="4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☐ выполнение мер проверено на рабочем месте, а не только по отчету.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79" w:bottom="979" w:left="979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действий работодателя при несчастном случае</dc:title>
  <dc:subject>Редактируемый чек-лист срочных действий и расследования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